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CC" w:rsidRDefault="005C770A" w:rsidP="00172FCC">
      <w:bookmarkStart w:id="0" w:name="_GoBack"/>
      <w:bookmarkEnd w:id="0"/>
      <w:r>
        <w:t>Vach, 18. Januar 2017</w:t>
      </w:r>
    </w:p>
    <w:p w:rsidR="00172FCC" w:rsidRDefault="00172FCC" w:rsidP="00172FCC">
      <w:r>
        <w:rPr>
          <w:b/>
        </w:rPr>
        <w:t>D</w:t>
      </w:r>
      <w:r w:rsidRPr="005A019B">
        <w:rPr>
          <w:b/>
        </w:rPr>
        <w:t xml:space="preserve">ie Reformation </w:t>
      </w:r>
      <w:r>
        <w:rPr>
          <w:b/>
        </w:rPr>
        <w:t xml:space="preserve">1517ff: Wie und was können wir 2017ff davon profitieren? </w:t>
      </w:r>
    </w:p>
    <w:p w:rsidR="00172FCC" w:rsidRDefault="00172FCC" w:rsidP="00172FCC"/>
    <w:p w:rsidR="00172FCC" w:rsidRDefault="00172FCC" w:rsidP="00172FCC">
      <w:pPr>
        <w:rPr>
          <w:b/>
        </w:rPr>
      </w:pPr>
      <w:r w:rsidRPr="00051448">
        <w:rPr>
          <w:b/>
        </w:rPr>
        <w:t xml:space="preserve">1. „Es ist gewiss alles am Ende“ (1541): </w:t>
      </w:r>
      <w:r>
        <w:rPr>
          <w:b/>
        </w:rPr>
        <w:t>Die a</w:t>
      </w:r>
      <w:r w:rsidRPr="00051448">
        <w:rPr>
          <w:b/>
        </w:rPr>
        <w:t xml:space="preserve">pokalyptische </w:t>
      </w:r>
      <w:r>
        <w:rPr>
          <w:b/>
        </w:rPr>
        <w:t>„</w:t>
      </w:r>
      <w:r w:rsidRPr="00051448">
        <w:rPr>
          <w:b/>
        </w:rPr>
        <w:t>Zeit-Ordnung</w:t>
      </w:r>
      <w:r>
        <w:rPr>
          <w:b/>
        </w:rPr>
        <w:t>“</w:t>
      </w:r>
      <w:r w:rsidRPr="00051448">
        <w:rPr>
          <w:b/>
        </w:rPr>
        <w:t xml:space="preserve"> </w:t>
      </w:r>
      <w:r>
        <w:rPr>
          <w:b/>
        </w:rPr>
        <w:t xml:space="preserve">der Reformation </w:t>
      </w:r>
      <w:r w:rsidRPr="00051448">
        <w:rPr>
          <w:b/>
        </w:rPr>
        <w:t xml:space="preserve">und </w:t>
      </w:r>
      <w:r>
        <w:rPr>
          <w:b/>
        </w:rPr>
        <w:t>ihre „Wirkungsgeschichte“ bis heute:</w:t>
      </w:r>
    </w:p>
    <w:p w:rsidR="00DC56C0" w:rsidRPr="008470AA" w:rsidRDefault="00172FCC" w:rsidP="00172FCC">
      <w:r>
        <w:t xml:space="preserve">Die Reformatoren bewegten sich in der </w:t>
      </w:r>
      <w:r w:rsidR="00481A3C">
        <w:t xml:space="preserve">(räumlich und zeitlich begrenzten) apokalyptischen „Zeit-Ordnung“; ihre fünfhundertjährige „Wirkungsgeschichte“ lässt sich nicht aus deren Selbstverständnis und nicht aus den von ihnen beabsichtigten Wirkungen, also </w:t>
      </w:r>
      <w:r w:rsidR="00481A3C" w:rsidRPr="00481A3C">
        <w:rPr>
          <w:i/>
        </w:rPr>
        <w:t>ex ante</w:t>
      </w:r>
      <w:r w:rsidR="00481A3C">
        <w:t xml:space="preserve"> konstruieren. Ohne Selbstbetrug möglich </w:t>
      </w:r>
      <w:r w:rsidR="00161D01">
        <w:t>ist lediglich</w:t>
      </w:r>
      <w:r w:rsidR="00481A3C">
        <w:t xml:space="preserve"> </w:t>
      </w:r>
      <w:r w:rsidR="00161D01">
        <w:t xml:space="preserve">ein Rückblick </w:t>
      </w:r>
      <w:r w:rsidR="00161D01" w:rsidRPr="00161D01">
        <w:rPr>
          <w:i/>
        </w:rPr>
        <w:t xml:space="preserve">ex </w:t>
      </w:r>
      <w:proofErr w:type="spellStart"/>
      <w:r w:rsidR="00161D01" w:rsidRPr="00161D01">
        <w:rPr>
          <w:i/>
        </w:rPr>
        <w:t>post</w:t>
      </w:r>
      <w:proofErr w:type="spellEnd"/>
      <w:r w:rsidR="00161D01">
        <w:t xml:space="preserve">, der heutige </w:t>
      </w:r>
      <w:r w:rsidR="00422E7B">
        <w:t>Phänomene</w:t>
      </w:r>
      <w:r w:rsidR="00161D01">
        <w:t xml:space="preserve"> als Nachwirkung (auch) der Reformation interpretie</w:t>
      </w:r>
      <w:r w:rsidR="00422E7B">
        <w:t>rt</w:t>
      </w:r>
      <w:r w:rsidR="00BB6F68">
        <w:t>: Diese</w:t>
      </w:r>
      <w:r w:rsidR="00422E7B">
        <w:t xml:space="preserve"> </w:t>
      </w:r>
      <w:r w:rsidR="00BB6F68">
        <w:rPr>
          <w:i/>
        </w:rPr>
        <w:t>Erinnerungsarbeit</w:t>
      </w:r>
      <w:r w:rsidR="00422E7B">
        <w:t xml:space="preserve"> </w:t>
      </w:r>
      <w:r w:rsidR="00BB6F68">
        <w:t xml:space="preserve">wird nicht durch </w:t>
      </w:r>
      <w:r w:rsidR="00422E7B">
        <w:t>Großtheorien (</w:t>
      </w:r>
      <w:r w:rsidR="002F4F8D">
        <w:t>„</w:t>
      </w:r>
      <w:r w:rsidR="00422E7B">
        <w:t>Säkularisierung</w:t>
      </w:r>
      <w:r w:rsidR="002F4F8D">
        <w:t>“</w:t>
      </w:r>
      <w:r w:rsidR="00422E7B">
        <w:t xml:space="preserve">; „Luther-Bismarck-Hitler“) </w:t>
      </w:r>
      <w:r w:rsidR="00FB61DB">
        <w:t>erledigt</w:t>
      </w:r>
      <w:r w:rsidR="00422E7B">
        <w:t xml:space="preserve">, sondern </w:t>
      </w:r>
      <w:r w:rsidR="00BB6F68">
        <w:t xml:space="preserve">bleibt </w:t>
      </w:r>
      <w:r w:rsidR="00FB61DB">
        <w:t xml:space="preserve">im Einzelnen </w:t>
      </w:r>
      <w:r w:rsidR="00375F1B">
        <w:t>durchweg</w:t>
      </w:r>
      <w:r w:rsidR="00BB6F68">
        <w:t xml:space="preserve"> </w:t>
      </w:r>
      <w:r w:rsidR="00422E7B">
        <w:t>begründungs</w:t>
      </w:r>
      <w:r w:rsidR="00BB6F68">
        <w:t xml:space="preserve">pflichtig angesichts </w:t>
      </w:r>
      <w:r w:rsidR="00FB61DB">
        <w:t xml:space="preserve">auch </w:t>
      </w:r>
      <w:r w:rsidR="00BB6F68">
        <w:t>anderer</w:t>
      </w:r>
      <w:r w:rsidR="00422E7B">
        <w:t xml:space="preserve"> Deutungs- und Rezeptionsmöglichkeiten: </w:t>
      </w:r>
      <w:r w:rsidRPr="004334E5">
        <w:rPr>
          <w:i/>
        </w:rPr>
        <w:t>Wer</w:t>
      </w:r>
      <w:r>
        <w:t xml:space="preserve"> greift </w:t>
      </w:r>
      <w:r w:rsidRPr="004334E5">
        <w:rPr>
          <w:i/>
        </w:rPr>
        <w:t>wie</w:t>
      </w:r>
      <w:r>
        <w:t xml:space="preserve"> mit welchem (de-)legitimierenden </w:t>
      </w:r>
      <w:r w:rsidRPr="004334E5">
        <w:rPr>
          <w:i/>
        </w:rPr>
        <w:t>Interesse</w:t>
      </w:r>
      <w:r>
        <w:t xml:space="preserve"> auf </w:t>
      </w:r>
      <w:r w:rsidRPr="002F4F8D">
        <w:rPr>
          <w:i/>
        </w:rPr>
        <w:t>welche</w:t>
      </w:r>
      <w:r w:rsidR="00BB6F68">
        <w:t xml:space="preserve"> Quellen zu</w:t>
      </w:r>
      <w:r w:rsidR="00DC56C0">
        <w:t xml:space="preserve"> (oder: macht </w:t>
      </w:r>
      <w:r w:rsidR="007A0614">
        <w:t xml:space="preserve">sie </w:t>
      </w:r>
      <w:r w:rsidR="00DC56C0">
        <w:t>vergessen)</w:t>
      </w:r>
      <w:r>
        <w:t>?</w:t>
      </w:r>
      <w:r w:rsidR="00BB6F68">
        <w:t xml:space="preserve"> Es gibt k</w:t>
      </w:r>
      <w:r w:rsidR="00632CFC">
        <w:t xml:space="preserve">ein Deutungsmonopol </w:t>
      </w:r>
      <w:r w:rsidR="00BB6F68">
        <w:t>– die Reformation</w:t>
      </w:r>
      <w:r w:rsidR="00632CFC">
        <w:t xml:space="preserve"> gehört allen.</w:t>
      </w:r>
    </w:p>
    <w:p w:rsidR="00DC56C0" w:rsidRDefault="00DC56C0" w:rsidP="00172FCC">
      <w:pPr>
        <w:rPr>
          <w:b/>
        </w:rPr>
      </w:pPr>
    </w:p>
    <w:p w:rsidR="00172FCC" w:rsidRDefault="00172FCC" w:rsidP="00172FCC">
      <w:pPr>
        <w:rPr>
          <w:b/>
        </w:rPr>
      </w:pPr>
      <w:r w:rsidRPr="00051448">
        <w:rPr>
          <w:b/>
        </w:rPr>
        <w:t xml:space="preserve">2. „Es </w:t>
      </w:r>
      <w:r>
        <w:rPr>
          <w:b/>
        </w:rPr>
        <w:t xml:space="preserve">ist </w:t>
      </w:r>
      <w:r w:rsidRPr="00051448">
        <w:rPr>
          <w:b/>
        </w:rPr>
        <w:t>jetzt eine andere Welt, und es geht anders zu“ (1524): Epochenschwelle</w:t>
      </w:r>
      <w:r w:rsidR="002F4F8D">
        <w:rPr>
          <w:b/>
        </w:rPr>
        <w:t xml:space="preserve">? </w:t>
      </w:r>
      <w:r>
        <w:rPr>
          <w:b/>
        </w:rPr>
        <w:t>Kontextualisierung!</w:t>
      </w:r>
    </w:p>
    <w:p w:rsidR="002F4F8D" w:rsidRDefault="00A75B5C" w:rsidP="002F4F8D">
      <w:r>
        <w:t>Konfessionelle</w:t>
      </w:r>
      <w:r w:rsidR="006963F1">
        <w:t xml:space="preserve"> und</w:t>
      </w:r>
      <w:r w:rsidR="00422E7B">
        <w:t xml:space="preserve"> </w:t>
      </w:r>
      <w:r w:rsidR="006963F1">
        <w:t>nationalistische</w:t>
      </w:r>
      <w:r w:rsidR="00422E7B">
        <w:t xml:space="preserve"> Hagiographien </w:t>
      </w:r>
      <w:r>
        <w:t>Luthers</w:t>
      </w:r>
      <w:r w:rsidR="006963F1">
        <w:t xml:space="preserve"> </w:t>
      </w:r>
      <w:r w:rsidR="00BB6F68">
        <w:t>(</w:t>
      </w:r>
      <w:r w:rsidR="00422E7B">
        <w:t>Genie</w:t>
      </w:r>
      <w:r w:rsidR="00BB6F68">
        <w:t xml:space="preserve">, </w:t>
      </w:r>
      <w:r>
        <w:t xml:space="preserve">Held) </w:t>
      </w:r>
      <w:r w:rsidR="006963F1">
        <w:t>habe</w:t>
      </w:r>
      <w:r w:rsidR="002F4F8D">
        <w:t xml:space="preserve">n </w:t>
      </w:r>
      <w:r w:rsidR="006963F1">
        <w:t>enormen Schaden angerichtet</w:t>
      </w:r>
      <w:r w:rsidR="00BB6F68">
        <w:t xml:space="preserve">; seine epochale Einschätzung </w:t>
      </w:r>
      <w:r w:rsidR="00375F1B">
        <w:t xml:space="preserve">(„Zeitenbruch“) </w:t>
      </w:r>
      <w:r w:rsidR="00BB6F68">
        <w:t xml:space="preserve">projiziert </w:t>
      </w:r>
      <w:r w:rsidR="00375F1B">
        <w:t xml:space="preserve">ein </w:t>
      </w:r>
      <w:r w:rsidR="002F4F8D">
        <w:t xml:space="preserve">modernes Selbstverständnis kausal auf Luther zurück projiziert. Im damaligen Chaos agierte Luther </w:t>
      </w:r>
      <w:r w:rsidR="002F170D">
        <w:t xml:space="preserve">gewollt und </w:t>
      </w:r>
      <w:r w:rsidR="002F4F8D">
        <w:t xml:space="preserve">ungewollt als </w:t>
      </w:r>
      <w:r w:rsidR="001B3198">
        <w:t>eigenartige</w:t>
      </w:r>
      <w:r>
        <w:t>r</w:t>
      </w:r>
      <w:r w:rsidR="001B3198">
        <w:t xml:space="preserve"> und wichtige</w:t>
      </w:r>
      <w:r>
        <w:t>r</w:t>
      </w:r>
      <w:r w:rsidR="00BB6F68">
        <w:t xml:space="preserve"> (nicht </w:t>
      </w:r>
      <w:r w:rsidR="001B3198">
        <w:t>imm</w:t>
      </w:r>
      <w:r>
        <w:t>er wichtigster</w:t>
      </w:r>
      <w:r w:rsidR="002F170D">
        <w:t>)</w:t>
      </w:r>
      <w:r>
        <w:t xml:space="preserve"> Kopf </w:t>
      </w:r>
      <w:r w:rsidR="00BB6F68">
        <w:t>in</w:t>
      </w:r>
      <w:r w:rsidR="001B3198">
        <w:t xml:space="preserve"> </w:t>
      </w:r>
      <w:r w:rsidR="002F170D">
        <w:t xml:space="preserve">einer komplexen </w:t>
      </w:r>
      <w:r w:rsidR="002F170D" w:rsidRPr="00534CBA">
        <w:rPr>
          <w:i/>
        </w:rPr>
        <w:t>Konstellation</w:t>
      </w:r>
      <w:r w:rsidR="002F170D">
        <w:t xml:space="preserve"> von </w:t>
      </w:r>
      <w:r w:rsidR="001B3198">
        <w:t>divergenten politischen, sozialen, kirchlichen</w:t>
      </w:r>
      <w:r w:rsidR="002F4F8D">
        <w:t xml:space="preserve"> und religiöse</w:t>
      </w:r>
      <w:r w:rsidR="001B3198">
        <w:t>n</w:t>
      </w:r>
      <w:r w:rsidR="002F4F8D">
        <w:t xml:space="preserve"> Motive</w:t>
      </w:r>
      <w:r>
        <w:t>n</w:t>
      </w:r>
      <w:r w:rsidR="002F4F8D">
        <w:t xml:space="preserve"> und Kräfte</w:t>
      </w:r>
      <w:r>
        <w:t>n</w:t>
      </w:r>
      <w:r w:rsidR="002F4F8D">
        <w:t xml:space="preserve"> </w:t>
      </w:r>
      <w:r w:rsidR="002F170D">
        <w:t>geprägt wurde und die sich</w:t>
      </w:r>
      <w:r>
        <w:t xml:space="preserve"> </w:t>
      </w:r>
      <w:r w:rsidR="002F170D">
        <w:t xml:space="preserve">selten nur </w:t>
      </w:r>
      <w:r w:rsidR="001B3198">
        <w:t>linear veränder</w:t>
      </w:r>
      <w:r w:rsidR="002F170D">
        <w:t>te. Wir nennen sie</w:t>
      </w:r>
      <w:r w:rsidR="001B3198">
        <w:t xml:space="preserve"> simplifizierend </w:t>
      </w:r>
      <w:r w:rsidR="002F4F8D">
        <w:t>„die Reformation“</w:t>
      </w:r>
      <w:r w:rsidR="001B3198">
        <w:t>. Zu ihr</w:t>
      </w:r>
      <w:r w:rsidR="002F4F8D">
        <w:t xml:space="preserve"> </w:t>
      </w:r>
      <w:r w:rsidR="00862A69">
        <w:t xml:space="preserve">können wir uns </w:t>
      </w:r>
      <w:r w:rsidR="002F4F8D">
        <w:t>in Bez</w:t>
      </w:r>
      <w:r w:rsidR="00862A69">
        <w:t xml:space="preserve">iehung setzen, indem wir sie </w:t>
      </w:r>
      <w:r w:rsidR="002F4F8D">
        <w:t xml:space="preserve">vielseitig </w:t>
      </w:r>
      <w:r w:rsidR="001B3198">
        <w:t>(</w:t>
      </w:r>
      <w:r w:rsidR="002F4F8D">
        <w:t xml:space="preserve">interdisziplinär) rekonstruieren, </w:t>
      </w:r>
      <w:r w:rsidR="002F170D">
        <w:t>in ein</w:t>
      </w:r>
      <w:r w:rsidR="001B3198">
        <w:t>er</w:t>
      </w:r>
      <w:r w:rsidR="002F4F8D">
        <w:t xml:space="preserve"> partikularen Pe</w:t>
      </w:r>
      <w:r>
        <w:t>rspektive („</w:t>
      </w:r>
      <w:r w:rsidR="002F4F8D">
        <w:t>Erben</w:t>
      </w:r>
      <w:r>
        <w:t>“)</w:t>
      </w:r>
      <w:r w:rsidR="002F4F8D">
        <w:t xml:space="preserve"> </w:t>
      </w:r>
      <w:r>
        <w:t xml:space="preserve">deuten und </w:t>
      </w:r>
      <w:r w:rsidR="00BB6F68">
        <w:t xml:space="preserve">manche </w:t>
      </w:r>
      <w:r>
        <w:t xml:space="preserve">Aspekte </w:t>
      </w:r>
      <w:r w:rsidR="002F4F8D">
        <w:t>in aktuelle Problemlagen einschreiben</w:t>
      </w:r>
      <w:r w:rsidR="006A4221">
        <w:t xml:space="preserve"> </w:t>
      </w:r>
      <w:r w:rsidR="002F170D">
        <w:t>(</w:t>
      </w:r>
      <w:r w:rsidR="006A4221">
        <w:t xml:space="preserve">oder </w:t>
      </w:r>
      <w:r>
        <w:t xml:space="preserve">von </w:t>
      </w:r>
      <w:r w:rsidR="006A4221">
        <w:t>ihnen fernhalten</w:t>
      </w:r>
      <w:r w:rsidR="002F170D">
        <w:t>)</w:t>
      </w:r>
      <w:r w:rsidR="002F4F8D">
        <w:t>.</w:t>
      </w:r>
      <w:r w:rsidR="00862A69">
        <w:t xml:space="preserve"> Das EKD-Papier „Rechtfertigung und Freiheit“ (2014) ist kein optimales Beispiel dafür.</w:t>
      </w:r>
    </w:p>
    <w:p w:rsidR="00172FCC" w:rsidRDefault="00172FCC" w:rsidP="00172FCC">
      <w:pPr>
        <w:rPr>
          <w:b/>
        </w:rPr>
      </w:pPr>
    </w:p>
    <w:p w:rsidR="00172FCC" w:rsidRDefault="00172FCC" w:rsidP="00172FCC">
      <w:pPr>
        <w:rPr>
          <w:b/>
        </w:rPr>
      </w:pPr>
      <w:r w:rsidRPr="00563281">
        <w:rPr>
          <w:b/>
        </w:rPr>
        <w:t>3. „Ein Christenmensch is</w:t>
      </w:r>
      <w:r>
        <w:rPr>
          <w:b/>
        </w:rPr>
        <w:t>t ein Herr…</w:t>
      </w:r>
      <w:r w:rsidRPr="00563281">
        <w:rPr>
          <w:b/>
        </w:rPr>
        <w:t xml:space="preserve">“ </w:t>
      </w:r>
      <w:r>
        <w:rPr>
          <w:b/>
        </w:rPr>
        <w:t>(1520): Religiöse Umorientierun</w:t>
      </w:r>
      <w:r w:rsidRPr="00563281">
        <w:rPr>
          <w:b/>
        </w:rPr>
        <w:t>g und ethische Mobilisierung</w:t>
      </w:r>
      <w:r>
        <w:rPr>
          <w:b/>
        </w:rPr>
        <w:t xml:space="preserve"> der christlichen Frömmigkeit.</w:t>
      </w:r>
    </w:p>
    <w:p w:rsidR="00172FCC" w:rsidRPr="0052388A" w:rsidRDefault="0052388A" w:rsidP="0052388A">
      <w:r w:rsidRPr="0052388A">
        <w:t>Die reforma</w:t>
      </w:r>
      <w:r>
        <w:t xml:space="preserve">torische Entflechtung der Gottesbeziehung und des Leistungsprinzips hat nicht etwa demotiviert, sondern führte im Gegenteil zu weiteren Aufwertung der </w:t>
      </w:r>
      <w:r w:rsidRPr="00A76B96">
        <w:rPr>
          <w:i/>
        </w:rPr>
        <w:t>Arbeit</w:t>
      </w:r>
      <w:r>
        <w:t xml:space="preserve"> gegenüber der </w:t>
      </w:r>
      <w:r w:rsidRPr="00253BE8">
        <w:t>Muße</w:t>
      </w:r>
      <w:r>
        <w:t>, und sie nobilitierte die alltägliche soziale Arbeit als „</w:t>
      </w:r>
      <w:r w:rsidRPr="00A76B96">
        <w:rPr>
          <w:i/>
        </w:rPr>
        <w:t>Beruf</w:t>
      </w:r>
      <w:r>
        <w:t>“ (vordem nur Berufung zum geistlichen Stand). Die neue Koordination von Glaube und Werken lässt sich aber nicht geradeswegs in unsere kulturelle Situation übertragen, v.a. nicht die normative Steuerung des liebesmotivierten Handelns (Dekalog/Naturrecht</w:t>
      </w:r>
      <w:r w:rsidR="00BB6F68">
        <w:t xml:space="preserve">, „neue Dekaloge“). Auch die Adaption der politischen („Zwei Regimente“) und der ökonomischen Ethik, seinerzeit im Rahmen der „Drei Stände“ konzipiert, </w:t>
      </w:r>
      <w:r w:rsidR="00F011D0">
        <w:t>an unser</w:t>
      </w:r>
      <w:r w:rsidR="009430D2">
        <w:t>e Gesellschaften</w:t>
      </w:r>
      <w:r w:rsidR="00375F1B">
        <w:t>, die chiliastisch am (exponentiellen) Fortschrit</w:t>
      </w:r>
      <w:r w:rsidR="00253BE8">
        <w:t xml:space="preserve">t arbeiten, ist aufwändig. Das belegen </w:t>
      </w:r>
      <w:r w:rsidR="00375F1B">
        <w:t>kirchliche Stellungnahmen</w:t>
      </w:r>
      <w:r w:rsidR="00253BE8">
        <w:t xml:space="preserve">, wo sie </w:t>
      </w:r>
      <w:r w:rsidR="00862A69">
        <w:t>nicht biblizist</w:t>
      </w:r>
      <w:r w:rsidR="00253BE8">
        <w:t>isch argumentieren können (</w:t>
      </w:r>
      <w:proofErr w:type="spellStart"/>
      <w:r w:rsidR="00862A69">
        <w:t>Pränataldiagnostik</w:t>
      </w:r>
      <w:proofErr w:type="spellEnd"/>
      <w:r w:rsidR="00862A69">
        <w:t xml:space="preserve">, Sterbehilfe), </w:t>
      </w:r>
      <w:r w:rsidR="00253BE8">
        <w:t>unfreiwillig</w:t>
      </w:r>
      <w:r w:rsidR="00375F1B">
        <w:t>.</w:t>
      </w:r>
      <w:r w:rsidR="00BB6F68">
        <w:t xml:space="preserve"> </w:t>
      </w:r>
    </w:p>
    <w:p w:rsidR="00172FCC" w:rsidRDefault="00172FCC" w:rsidP="00172FCC">
      <w:pPr>
        <w:rPr>
          <w:b/>
        </w:rPr>
      </w:pPr>
    </w:p>
    <w:p w:rsidR="00172FCC" w:rsidRPr="00CF6715" w:rsidRDefault="00172FCC" w:rsidP="00172FCC">
      <w:pPr>
        <w:rPr>
          <w:b/>
        </w:rPr>
      </w:pPr>
      <w:r w:rsidRPr="00CF6715">
        <w:rPr>
          <w:b/>
        </w:rPr>
        <w:t>4. „</w:t>
      </w:r>
      <w:r>
        <w:rPr>
          <w:b/>
        </w:rPr>
        <w:t>Fürwahr, d</w:t>
      </w:r>
      <w:r w:rsidRPr="00CF6715">
        <w:rPr>
          <w:b/>
        </w:rPr>
        <w:t xml:space="preserve">u kannst nicht </w:t>
      </w:r>
      <w:proofErr w:type="spellStart"/>
      <w:r w:rsidRPr="00CF6715">
        <w:rPr>
          <w:b/>
        </w:rPr>
        <w:t>zuviel</w:t>
      </w:r>
      <w:proofErr w:type="spellEnd"/>
      <w:r w:rsidRPr="00CF6715">
        <w:rPr>
          <w:b/>
        </w:rPr>
        <w:t xml:space="preserve"> in der Schrift lesen“ (1543): Bibelfrömmigkeit und Hermeneutik des Christusglaubens. </w:t>
      </w:r>
    </w:p>
    <w:p w:rsidR="00EB20A1" w:rsidRDefault="00516909" w:rsidP="00EB20A1">
      <w:r w:rsidRPr="00516909">
        <w:t>Religionspraktisch</w:t>
      </w:r>
      <w:r>
        <w:t xml:space="preserve"> zielte die Reformation durchweg auf Bibelfrömmigkeit (</w:t>
      </w:r>
      <w:proofErr w:type="spellStart"/>
      <w:r w:rsidRPr="00516909">
        <w:rPr>
          <w:i/>
        </w:rPr>
        <w:t>oratio</w:t>
      </w:r>
      <w:proofErr w:type="spellEnd"/>
      <w:r>
        <w:t xml:space="preserve">, </w:t>
      </w:r>
      <w:proofErr w:type="spellStart"/>
      <w:r w:rsidRPr="00253BE8">
        <w:rPr>
          <w:i/>
        </w:rPr>
        <w:t>meditatio</w:t>
      </w:r>
      <w:proofErr w:type="spellEnd"/>
      <w:r>
        <w:t xml:space="preserve">, </w:t>
      </w:r>
      <w:proofErr w:type="spellStart"/>
      <w:r w:rsidRPr="00516909">
        <w:rPr>
          <w:i/>
        </w:rPr>
        <w:t>tentatio</w:t>
      </w:r>
      <w:proofErr w:type="spellEnd"/>
      <w:r>
        <w:t>) ab; sie startete daher (</w:t>
      </w:r>
      <w:r w:rsidR="00EB20A1">
        <w:t>und realisierte zum Teil</w:t>
      </w:r>
      <w:r>
        <w:t>) eine Bildungsoffensive</w:t>
      </w:r>
      <w:r w:rsidR="00253BE8">
        <w:t xml:space="preserve"> (</w:t>
      </w:r>
      <w:r>
        <w:t>Philologie; Historie, Naturwissenschaften) und entwickelte eine neue Hermeneutik der Bibel und des Textverstehens überhaupt.</w:t>
      </w:r>
      <w:r w:rsidR="00EB20A1">
        <w:t xml:space="preserve"> Davon haben wir uns weit entfernt: (1) Das </w:t>
      </w:r>
      <w:proofErr w:type="spellStart"/>
      <w:r w:rsidR="00EB20A1" w:rsidRPr="005B0FC8">
        <w:rPr>
          <w:i/>
        </w:rPr>
        <w:t>sola</w:t>
      </w:r>
      <w:proofErr w:type="spellEnd"/>
      <w:r w:rsidR="00EB20A1" w:rsidRPr="005B0FC8">
        <w:rPr>
          <w:i/>
        </w:rPr>
        <w:t xml:space="preserve"> </w:t>
      </w:r>
      <w:proofErr w:type="spellStart"/>
      <w:r w:rsidR="00EB20A1" w:rsidRPr="005B0FC8">
        <w:rPr>
          <w:i/>
        </w:rPr>
        <w:t>Scriptura</w:t>
      </w:r>
      <w:proofErr w:type="spellEnd"/>
      <w:r w:rsidR="00EB20A1">
        <w:t xml:space="preserve"> wird der kirchlichen Tradition abstrakt entgegengesetzt. (2) Die </w:t>
      </w:r>
      <w:r w:rsidR="00253BE8">
        <w:t>Vertrautheit mit der</w:t>
      </w:r>
      <w:r w:rsidR="00EB20A1">
        <w:t xml:space="preserve"> </w:t>
      </w:r>
      <w:r w:rsidR="00253BE8">
        <w:t>Bibel</w:t>
      </w:r>
      <w:r w:rsidR="00EB20A1">
        <w:t xml:space="preserve"> hat derart abgenommen, dass eine wesentliche Grundlage der reformatorischen Frömmigkeit und ihrer kulturellen Präsenz bedroht ist. (3) Der normative Rekurs auf die Bibel regrediert oft auf Biblizismus, der die Kriterien der </w:t>
      </w:r>
      <w:proofErr w:type="spellStart"/>
      <w:r w:rsidR="00EB20A1">
        <w:t>Literalintention</w:t>
      </w:r>
      <w:proofErr w:type="spellEnd"/>
      <w:r w:rsidR="00EB20A1">
        <w:t xml:space="preserve"> (historische Kritik) und des geistlichen </w:t>
      </w:r>
      <w:r w:rsidR="00EB20A1">
        <w:lastRenderedPageBreak/>
        <w:t xml:space="preserve">„was Christum treibet“ missachtet, vielmehr „Stellen“ für gewünschte oder gegen </w:t>
      </w:r>
      <w:r w:rsidR="007A0614">
        <w:t xml:space="preserve">missliebige </w:t>
      </w:r>
      <w:r w:rsidR="00EB20A1">
        <w:t>Moralität sammelt (Frauenordination, Homosexualität</w:t>
      </w:r>
      <w:r w:rsidR="00862A69">
        <w:t xml:space="preserve">; </w:t>
      </w:r>
      <w:r w:rsidR="00253BE8">
        <w:t xml:space="preserve">auch </w:t>
      </w:r>
      <w:r w:rsidR="00862A69">
        <w:t>Todesstrafe, Familienpolitik</w:t>
      </w:r>
      <w:r w:rsidR="00EB20A1">
        <w:t>).</w:t>
      </w:r>
      <w:r w:rsidR="004B525E">
        <w:t xml:space="preserve"> Die </w:t>
      </w:r>
      <w:r w:rsidR="00AD124B">
        <w:t>Beseitigung</w:t>
      </w:r>
      <w:r w:rsidR="004B525E">
        <w:t xml:space="preserve"> dieser Sc</w:t>
      </w:r>
      <w:r w:rsidR="00AD124B">
        <w:t xml:space="preserve">hwächen würde </w:t>
      </w:r>
      <w:r w:rsidR="008470AA">
        <w:t xml:space="preserve">die </w:t>
      </w:r>
      <w:r w:rsidR="004B525E">
        <w:t>Rekanonisierung der Heiligen Schrift</w:t>
      </w:r>
      <w:r w:rsidR="00AD124B">
        <w:t xml:space="preserve"> bedeuten</w:t>
      </w:r>
      <w:r w:rsidR="004B525E">
        <w:t>.</w:t>
      </w:r>
    </w:p>
    <w:p w:rsidR="00172FCC" w:rsidRDefault="00172FCC" w:rsidP="00172FCC">
      <w:pPr>
        <w:rPr>
          <w:b/>
        </w:rPr>
      </w:pPr>
    </w:p>
    <w:p w:rsidR="00172FCC" w:rsidRDefault="00172FCC" w:rsidP="00172FCC">
      <w:pPr>
        <w:rPr>
          <w:b/>
        </w:rPr>
      </w:pPr>
      <w:r w:rsidRPr="00E47799">
        <w:rPr>
          <w:b/>
        </w:rPr>
        <w:t xml:space="preserve">5. „Unser Amt ist nun etwas anderes geworden“ (1529): </w:t>
      </w:r>
      <w:proofErr w:type="spellStart"/>
      <w:r w:rsidRPr="00E47799">
        <w:rPr>
          <w:b/>
          <w:i/>
        </w:rPr>
        <w:t>Congegratio</w:t>
      </w:r>
      <w:proofErr w:type="spellEnd"/>
      <w:r w:rsidRPr="00E47799">
        <w:rPr>
          <w:b/>
          <w:i/>
        </w:rPr>
        <w:t xml:space="preserve"> </w:t>
      </w:r>
      <w:proofErr w:type="spellStart"/>
      <w:r w:rsidRPr="00E47799">
        <w:rPr>
          <w:b/>
          <w:i/>
        </w:rPr>
        <w:t>sanctorum</w:t>
      </w:r>
      <w:proofErr w:type="spellEnd"/>
      <w:r w:rsidRPr="00E47799">
        <w:rPr>
          <w:b/>
        </w:rPr>
        <w:t xml:space="preserve"> und</w:t>
      </w:r>
      <w:r w:rsidR="00632CFC">
        <w:rPr>
          <w:b/>
        </w:rPr>
        <w:t xml:space="preserve"> unser</w:t>
      </w:r>
      <w:r>
        <w:rPr>
          <w:b/>
        </w:rPr>
        <w:t xml:space="preserve">e </w:t>
      </w:r>
      <w:r w:rsidR="00D7644F">
        <w:rPr>
          <w:b/>
        </w:rPr>
        <w:t>öffentlich-</w:t>
      </w:r>
      <w:r w:rsidR="00632CFC">
        <w:rPr>
          <w:b/>
        </w:rPr>
        <w:t>rechtlich verfasste</w:t>
      </w:r>
      <w:r w:rsidR="00D7644F">
        <w:rPr>
          <w:b/>
        </w:rPr>
        <w:t>n</w:t>
      </w:r>
      <w:r>
        <w:rPr>
          <w:b/>
        </w:rPr>
        <w:t xml:space="preserve"> Ki</w:t>
      </w:r>
      <w:r w:rsidR="00632CFC">
        <w:rPr>
          <w:b/>
        </w:rPr>
        <w:t>rche</w:t>
      </w:r>
      <w:r w:rsidR="00D7644F">
        <w:rPr>
          <w:b/>
        </w:rPr>
        <w:t>n</w:t>
      </w:r>
    </w:p>
    <w:p w:rsidR="00116F9F" w:rsidRDefault="006F7EF1" w:rsidP="00116F9F">
      <w:r>
        <w:t xml:space="preserve">Der Aufbau reformatorischer Kirchenwesen entsprach auch dem politischen und geldwerten Interesse der sich herausbildenden Staaten an der Freiheit von geistlicher Macht. Ebenso ist klar, dass dieser Aufbau der (nur im </w:t>
      </w:r>
      <w:proofErr w:type="spellStart"/>
      <w:r>
        <w:t>Kriteriologischen</w:t>
      </w:r>
      <w:proofErr w:type="spellEnd"/>
      <w:r>
        <w:t xml:space="preserve"> starken</w:t>
      </w:r>
      <w:r w:rsidR="00253BE8">
        <w:t>)</w:t>
      </w:r>
      <w:r>
        <w:t xml:space="preserve"> Ekklesiologie des Mönches Luther</w:t>
      </w:r>
      <w:r w:rsidR="00D7644F">
        <w:t xml:space="preserve"> </w:t>
      </w:r>
      <w:r>
        <w:t>(Kirche soziologisch primär als „Gemeinde“, „Priestertum</w:t>
      </w:r>
      <w:r w:rsidR="00D7644F">
        <w:t xml:space="preserve"> aller Getauften</w:t>
      </w:r>
      <w:r>
        <w:t xml:space="preserve">“) </w:t>
      </w:r>
      <w:r w:rsidR="00D7644F">
        <w:t xml:space="preserve">und auch der ökumenisch sich verpflichtenden CA nur </w:t>
      </w:r>
      <w:r>
        <w:t xml:space="preserve">begrenzt entsprach. Seit der </w:t>
      </w:r>
      <w:r w:rsidR="00116F9F">
        <w:t xml:space="preserve">seinerzeit wohl unvermeidlichen </w:t>
      </w:r>
      <w:r>
        <w:t>Etablierung d</w:t>
      </w:r>
      <w:r w:rsidR="00116F9F">
        <w:t xml:space="preserve">es </w:t>
      </w:r>
      <w:r>
        <w:t xml:space="preserve">„landesherrlichen Kirchenregiments“ </w:t>
      </w:r>
      <w:r w:rsidR="00116F9F">
        <w:t xml:space="preserve">besagte „Reformation“ nicht nur Politik, sondern auch </w:t>
      </w:r>
      <w:r>
        <w:t>die obrigkeitlich</w:t>
      </w:r>
      <w:r w:rsidR="00116F9F">
        <w:t xml:space="preserve"> dominiert</w:t>
      </w:r>
      <w:r>
        <w:t xml:space="preserve">e Koordination </w:t>
      </w:r>
      <w:r w:rsidR="00116F9F">
        <w:t>von Theologie und Jurisprudenz (</w:t>
      </w:r>
      <w:r>
        <w:t>hierbei wurde Luther seit 1530 weitgehend zum Zuschauer</w:t>
      </w:r>
      <w:r w:rsidR="00116F9F">
        <w:t>)</w:t>
      </w:r>
      <w:r>
        <w:t>.</w:t>
      </w:r>
      <w:r w:rsidR="00116F9F">
        <w:t xml:space="preserve"> Es fragt sich, ob die damalige Zwangslage heute noch gegeben ist. Denn man kann die zwar nicht mehr staatskirchliche, aber doch sehr staatsaffine öffentlich-rechtliche Verfassung evangelischer Kirchen nicht als reformatorisch vorbildlich ansehen. Sie verschreiben sich zwar nicht mehr aufgrund einer missverstandenen Zwei-Regimente-Lehre der politisch und sozial blinden Innerlichkeit. Aber sie ordnen sich vielleicht, wie ja vor nicht allzu langer Zeit hierzulande geschehen, der Definition des Staatswohls durch den Souverän unter. Aber auch umgekehrt: Wird die funktionale Trennung von religiöser Autorität und politischer Macht, die in unseren freiheitliche, d.h. religiös neutralen Staatswesen vorausgesetzt wird, auch in der Verfassung, der Organisation und Finanzierung unserer Kirchen realisiert?</w:t>
      </w:r>
    </w:p>
    <w:p w:rsidR="008470AA" w:rsidRDefault="008470AA" w:rsidP="00172FCC">
      <w:pPr>
        <w:rPr>
          <w:b/>
        </w:rPr>
      </w:pPr>
    </w:p>
    <w:p w:rsidR="00172FCC" w:rsidRDefault="00172FCC" w:rsidP="00172FCC">
      <w:pPr>
        <w:rPr>
          <w:b/>
        </w:rPr>
      </w:pPr>
      <w:r w:rsidRPr="00AD14AF">
        <w:rPr>
          <w:b/>
        </w:rPr>
        <w:t>6. ‚Hier stehe ich…‘ (1517): Luther</w:t>
      </w:r>
      <w:r w:rsidR="001D71DE">
        <w:rPr>
          <w:b/>
        </w:rPr>
        <w:t>s religiöse Intoleranz und das evangelische</w:t>
      </w:r>
      <w:r w:rsidRPr="00AD14AF">
        <w:rPr>
          <w:b/>
        </w:rPr>
        <w:t xml:space="preserve"> Toleranzgebot</w:t>
      </w:r>
      <w:r w:rsidR="001D71DE">
        <w:rPr>
          <w:b/>
        </w:rPr>
        <w:t xml:space="preserve"> heute</w:t>
      </w:r>
    </w:p>
    <w:p w:rsidR="0046101D" w:rsidRDefault="0046101D" w:rsidP="0046101D">
      <w:r>
        <w:t>Echte, d.h. nicht bloß no</w:t>
      </w:r>
      <w:r w:rsidR="00D14DA8">
        <w:t>t</w:t>
      </w:r>
      <w:r>
        <w:t>gedrungen duldende, sondern wertschätzende religiöse Toleranz war der Reformation und dem konfessionellen Zeitalter strukturell unmöglich.</w:t>
      </w:r>
      <w:r w:rsidRPr="0046101D">
        <w:t xml:space="preserve"> </w:t>
      </w:r>
      <w:r>
        <w:t>Luther forderte 1521 die politische Duldung seines eigenen, religiös bestimmten Gewissens, gestand aber Andersgläubi</w:t>
      </w:r>
      <w:r w:rsidR="004B525E">
        <w:t xml:space="preserve">gen eine solche nicht </w:t>
      </w:r>
      <w:r w:rsidR="00D74AB9">
        <w:t>zu. I</w:t>
      </w:r>
      <w:r>
        <w:t>m Blick auf „Schwärmer“</w:t>
      </w:r>
      <w:r w:rsidR="004B525E">
        <w:t xml:space="preserve"> und auf die Juden war er </w:t>
      </w:r>
      <w:r>
        <w:t>radika</w:t>
      </w:r>
      <w:r w:rsidR="007A0614">
        <w:t>l intolerant</w:t>
      </w:r>
      <w:r>
        <w:t xml:space="preserve"> (</w:t>
      </w:r>
      <w:proofErr w:type="spellStart"/>
      <w:r>
        <w:t>i.U</w:t>
      </w:r>
      <w:proofErr w:type="spellEnd"/>
      <w:r>
        <w:t xml:space="preserve">. zu Ph. Melanchthon oder A. </w:t>
      </w:r>
      <w:proofErr w:type="spellStart"/>
      <w:r>
        <w:t>Osiander</w:t>
      </w:r>
      <w:proofErr w:type="spellEnd"/>
      <w:r>
        <w:t>)</w:t>
      </w:r>
      <w:r w:rsidR="007A0614">
        <w:t>.</w:t>
      </w:r>
      <w:r>
        <w:t xml:space="preserve"> Die Reformation lebte davon, dass Reichsstände ihre religionspolitische Autonomie gegenüber dem Kaiser durchsetzten</w:t>
      </w:r>
      <w:r w:rsidR="004B525E">
        <w:t xml:space="preserve">, endgültig 1555. </w:t>
      </w:r>
      <w:proofErr w:type="spellStart"/>
      <w:r w:rsidR="004B525E">
        <w:t>C</w:t>
      </w:r>
      <w:r>
        <w:rPr>
          <w:i/>
        </w:rPr>
        <w:t>uius</w:t>
      </w:r>
      <w:proofErr w:type="spellEnd"/>
      <w:r>
        <w:rPr>
          <w:i/>
        </w:rPr>
        <w:t xml:space="preserve"> </w:t>
      </w:r>
      <w:proofErr w:type="spellStart"/>
      <w:r>
        <w:rPr>
          <w:i/>
        </w:rPr>
        <w:t>regio</w:t>
      </w:r>
      <w:proofErr w:type="spellEnd"/>
      <w:r w:rsidRPr="0048732B">
        <w:rPr>
          <w:i/>
        </w:rPr>
        <w:t xml:space="preserve"> </w:t>
      </w:r>
      <w:proofErr w:type="spellStart"/>
      <w:r w:rsidRPr="0048732B">
        <w:rPr>
          <w:i/>
        </w:rPr>
        <w:t>ejus</w:t>
      </w:r>
      <w:proofErr w:type="spellEnd"/>
      <w:r w:rsidRPr="0048732B">
        <w:rPr>
          <w:i/>
        </w:rPr>
        <w:t xml:space="preserve"> </w:t>
      </w:r>
      <w:proofErr w:type="spellStart"/>
      <w:r w:rsidRPr="0048732B">
        <w:rPr>
          <w:i/>
        </w:rPr>
        <w:t>religio</w:t>
      </w:r>
      <w:proofErr w:type="spellEnd"/>
      <w:r>
        <w:t xml:space="preserve"> </w:t>
      </w:r>
      <w:r w:rsidR="00D74AB9">
        <w:t>schützte den</w:t>
      </w:r>
      <w:r>
        <w:t xml:space="preserve"> </w:t>
      </w:r>
      <w:r w:rsidR="00D74AB9">
        <w:t xml:space="preserve">öffentlichen Kultus des Territoriums, schloss die andere </w:t>
      </w:r>
      <w:r>
        <w:t>„Religionspartei“</w:t>
      </w:r>
      <w:r w:rsidR="00D74AB9">
        <w:t xml:space="preserve"> dagegen aus</w:t>
      </w:r>
      <w:r>
        <w:t xml:space="preserve">. Immerhin gab es, als erstes individuelles Grundrecht, das </w:t>
      </w:r>
      <w:proofErr w:type="spellStart"/>
      <w:r w:rsidRPr="00104FC4">
        <w:rPr>
          <w:i/>
        </w:rPr>
        <w:t>jus</w:t>
      </w:r>
      <w:proofErr w:type="spellEnd"/>
      <w:r w:rsidRPr="00104FC4">
        <w:rPr>
          <w:i/>
        </w:rPr>
        <w:t xml:space="preserve"> </w:t>
      </w:r>
      <w:proofErr w:type="spellStart"/>
      <w:r w:rsidRPr="00104FC4">
        <w:rPr>
          <w:i/>
        </w:rPr>
        <w:t>emigrandi</w:t>
      </w:r>
      <w:proofErr w:type="spellEnd"/>
      <w:r w:rsidR="00253BE8">
        <w:t>;</w:t>
      </w:r>
      <w:r>
        <w:t xml:space="preserve"> aber ein allgemeines Recht auf individuelle Religionsfreiheit war undenkbar in ein</w:t>
      </w:r>
      <w:r w:rsidR="00D74AB9">
        <w:t xml:space="preserve">er Zeit, in der wahre Religion als </w:t>
      </w:r>
      <w:r>
        <w:t>das Band der Gesellschaft</w:t>
      </w:r>
      <w:r w:rsidR="00D74AB9">
        <w:t xml:space="preserve"> galt und daher</w:t>
      </w:r>
      <w:r>
        <w:t xml:space="preserve"> </w:t>
      </w:r>
      <w:proofErr w:type="spellStart"/>
      <w:r>
        <w:t>apriori</w:t>
      </w:r>
      <w:proofErr w:type="spellEnd"/>
      <w:r>
        <w:t xml:space="preserve"> nur eine </w:t>
      </w:r>
      <w:r w:rsidRPr="008139B1">
        <w:rPr>
          <w:i/>
        </w:rPr>
        <w:t>einzige</w:t>
      </w:r>
      <w:r>
        <w:t xml:space="preserve"> sein konnte, nämlich die </w:t>
      </w:r>
      <w:r w:rsidRPr="008139B1">
        <w:rPr>
          <w:i/>
        </w:rPr>
        <w:t>eigene</w:t>
      </w:r>
      <w:r>
        <w:t xml:space="preserve">, auf Leben und Sterben bezeugte </w:t>
      </w:r>
      <w:r w:rsidR="00D74AB9">
        <w:t xml:space="preserve">(oder eben </w:t>
      </w:r>
      <w:r>
        <w:t>politisch etablierte) Religion.</w:t>
      </w:r>
    </w:p>
    <w:p w:rsidR="00172FCC" w:rsidRPr="00521542" w:rsidRDefault="00671E0D" w:rsidP="00172FCC">
      <w:r>
        <w:t xml:space="preserve">Allerdings begründen auch die aktuellen </w:t>
      </w:r>
      <w:r w:rsidRPr="00253BE8">
        <w:rPr>
          <w:i/>
        </w:rPr>
        <w:t>religionstheologischen</w:t>
      </w:r>
      <w:r>
        <w:t xml:space="preserve"> Modelle der interreligiösen Beziehung, gegen ihre Absicht, keine echte religiöse Toleranz, auch das sog. pluralistische Modell nicht. Toleranz im Sinne von Anerkennung und Wertschätzung fremder Religiosität durch Christen ist nicht plausibel, wenn sie gegen ihren christlichen Glauben, an diesem vorbei oder gar ohne ihn tolerant sein wollen. Hinreichend begründet ist Toleranz nur </w:t>
      </w:r>
      <w:r w:rsidRPr="00A56CAB">
        <w:rPr>
          <w:i/>
        </w:rPr>
        <w:t>aus</w:t>
      </w:r>
      <w:r>
        <w:t xml:space="preserve"> unserem Christusglauben. Und dafür finden wir, trotz Luthers Intoleranz, bei Luther eine doppelte Begründung: (1) aus der Differenz zwischen dem </w:t>
      </w:r>
      <w:proofErr w:type="spellStart"/>
      <w:r w:rsidRPr="003A1237">
        <w:rPr>
          <w:i/>
        </w:rPr>
        <w:t>lumen</w:t>
      </w:r>
      <w:proofErr w:type="spellEnd"/>
      <w:r w:rsidRPr="003A1237">
        <w:rPr>
          <w:i/>
        </w:rPr>
        <w:t xml:space="preserve"> </w:t>
      </w:r>
      <w:proofErr w:type="spellStart"/>
      <w:r w:rsidRPr="003A1237">
        <w:rPr>
          <w:i/>
        </w:rPr>
        <w:t>gratiae</w:t>
      </w:r>
      <w:proofErr w:type="spellEnd"/>
      <w:r>
        <w:t xml:space="preserve"> als Raum unseres religiösen Wissens und dem </w:t>
      </w:r>
      <w:proofErr w:type="spellStart"/>
      <w:r w:rsidRPr="003A1237">
        <w:rPr>
          <w:i/>
        </w:rPr>
        <w:t>lumen</w:t>
      </w:r>
      <w:proofErr w:type="spellEnd"/>
      <w:r w:rsidRPr="003A1237">
        <w:rPr>
          <w:i/>
        </w:rPr>
        <w:t xml:space="preserve"> </w:t>
      </w:r>
      <w:proofErr w:type="spellStart"/>
      <w:r w:rsidRPr="003A1237">
        <w:rPr>
          <w:i/>
        </w:rPr>
        <w:t>gloriae</w:t>
      </w:r>
      <w:proofErr w:type="spellEnd"/>
      <w:r>
        <w:t xml:space="preserve">, (2) </w:t>
      </w:r>
      <w:r w:rsidR="007946FA">
        <w:t>aus dem Glauben an die</w:t>
      </w:r>
      <w:r>
        <w:t xml:space="preserve"> </w:t>
      </w:r>
      <w:r w:rsidR="007946FA">
        <w:t>Allg</w:t>
      </w:r>
      <w:r>
        <w:t xml:space="preserve">egenwart Jesu Christi zur </w:t>
      </w:r>
      <w:r w:rsidR="007946FA">
        <w:t>Rechten Gottes,</w:t>
      </w:r>
      <w:r>
        <w:t xml:space="preserve"> auch in den Religionen. </w:t>
      </w:r>
      <w:r w:rsidR="00253BE8">
        <w:t>Dies</w:t>
      </w:r>
      <w:r w:rsidR="007946FA">
        <w:t>e zu tolerieren, macht den</w:t>
      </w:r>
      <w:r>
        <w:t xml:space="preserve"> eigene</w:t>
      </w:r>
      <w:r w:rsidR="007946FA">
        <w:t>n</w:t>
      </w:r>
      <w:r>
        <w:t xml:space="preserve"> Christusglauben und sein</w:t>
      </w:r>
      <w:r w:rsidR="007946FA">
        <w:t>en Wahrheitsanspruch keineswegs gleichgültig. Denn s</w:t>
      </w:r>
      <w:r>
        <w:t>ie lebt aus</w:t>
      </w:r>
      <w:r w:rsidRPr="000B3D71">
        <w:t xml:space="preserve"> </w:t>
      </w:r>
      <w:r>
        <w:t>der Unhintergehbarkeit dieses Glaubens für den, der seinetwegen tolerant ist</w:t>
      </w:r>
      <w:r w:rsidR="007946FA">
        <w:t xml:space="preserve">. Sie bedeutet auch nicht </w:t>
      </w:r>
      <w:r>
        <w:t>die pauschale Anerkennung der Wa</w:t>
      </w:r>
      <w:r w:rsidR="007946FA">
        <w:t>hrheit einer fremden Religion</w:t>
      </w:r>
      <w:r>
        <w:t xml:space="preserve">. Echte religiöse Toleranz </w:t>
      </w:r>
      <w:r w:rsidRPr="00DB1FD1">
        <w:rPr>
          <w:i/>
        </w:rPr>
        <w:t>aus</w:t>
      </w:r>
      <w:r>
        <w:t xml:space="preserve"> Glauben ist keine Dekadenz, sondern ein Zeic</w:t>
      </w:r>
      <w:r w:rsidR="007946FA">
        <w:t xml:space="preserve">hen gelassener </w:t>
      </w:r>
      <w:r>
        <w:t>Stärke</w:t>
      </w:r>
      <w:r w:rsidR="007946FA">
        <w:t>, die weiß, wo und wie das missionarische Zeugnis dieses Glaubens</w:t>
      </w:r>
      <w:r w:rsidR="00AF3869">
        <w:t xml:space="preserve"> an der Zeit ist.</w:t>
      </w:r>
    </w:p>
    <w:p w:rsidR="00172FCC" w:rsidRDefault="00172FCC" w:rsidP="00172FCC">
      <w:pPr>
        <w:rPr>
          <w:b/>
        </w:rPr>
      </w:pPr>
    </w:p>
    <w:p w:rsidR="00172FCC" w:rsidRDefault="00172FCC" w:rsidP="00172FCC">
      <w:pPr>
        <w:rPr>
          <w:b/>
        </w:rPr>
      </w:pPr>
    </w:p>
    <w:p w:rsidR="00172FCC" w:rsidRDefault="00172FCC" w:rsidP="00172FCC"/>
    <w:p w:rsidR="0046101D" w:rsidRPr="00AD14AF" w:rsidRDefault="0046101D" w:rsidP="00172FCC">
      <w:pPr>
        <w:rPr>
          <w:b/>
        </w:rPr>
      </w:pPr>
      <w:r>
        <w:t xml:space="preserve"> </w:t>
      </w:r>
    </w:p>
    <w:p w:rsidR="00172FCC" w:rsidRPr="00563281" w:rsidRDefault="00172FCC" w:rsidP="00172FCC">
      <w:pPr>
        <w:rPr>
          <w:b/>
        </w:rPr>
      </w:pPr>
    </w:p>
    <w:p w:rsidR="00172FCC" w:rsidRPr="00051448" w:rsidRDefault="00172FCC" w:rsidP="00172FCC">
      <w:pPr>
        <w:rPr>
          <w:b/>
        </w:rPr>
      </w:pPr>
    </w:p>
    <w:p w:rsidR="00172FCC" w:rsidRPr="00051448" w:rsidRDefault="00172FCC" w:rsidP="00172FCC">
      <w:pPr>
        <w:rPr>
          <w:b/>
        </w:rPr>
      </w:pPr>
    </w:p>
    <w:p w:rsidR="00172FCC" w:rsidRDefault="00172FCC" w:rsidP="00172FCC"/>
    <w:p w:rsidR="00F5750C" w:rsidRDefault="00F5750C"/>
    <w:sectPr w:rsidR="00F5750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79" w:rsidRDefault="00600779" w:rsidP="00862A69">
      <w:pPr>
        <w:spacing w:line="240" w:lineRule="auto"/>
      </w:pPr>
      <w:r>
        <w:separator/>
      </w:r>
    </w:p>
  </w:endnote>
  <w:endnote w:type="continuationSeparator" w:id="0">
    <w:p w:rsidR="00600779" w:rsidRDefault="00600779" w:rsidP="00862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735639"/>
      <w:docPartObj>
        <w:docPartGallery w:val="Page Numbers (Bottom of Page)"/>
        <w:docPartUnique/>
      </w:docPartObj>
    </w:sdtPr>
    <w:sdtEndPr/>
    <w:sdtContent>
      <w:p w:rsidR="00862A69" w:rsidRDefault="00862A69">
        <w:pPr>
          <w:pStyle w:val="Fuzeile"/>
          <w:jc w:val="right"/>
        </w:pPr>
        <w:r>
          <w:fldChar w:fldCharType="begin"/>
        </w:r>
        <w:r>
          <w:instrText>PAGE   \* MERGEFORMAT</w:instrText>
        </w:r>
        <w:r>
          <w:fldChar w:fldCharType="separate"/>
        </w:r>
        <w:r w:rsidR="00034CE7">
          <w:rPr>
            <w:noProof/>
          </w:rPr>
          <w:t>3</w:t>
        </w:r>
        <w:r>
          <w:fldChar w:fldCharType="end"/>
        </w:r>
      </w:p>
    </w:sdtContent>
  </w:sdt>
  <w:p w:rsidR="00862A69" w:rsidRDefault="00862A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79" w:rsidRDefault="00600779" w:rsidP="00862A69">
      <w:pPr>
        <w:spacing w:line="240" w:lineRule="auto"/>
      </w:pPr>
      <w:r>
        <w:separator/>
      </w:r>
    </w:p>
  </w:footnote>
  <w:footnote w:type="continuationSeparator" w:id="0">
    <w:p w:rsidR="00600779" w:rsidRDefault="00600779" w:rsidP="00862A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CC"/>
    <w:rsid w:val="00034CE7"/>
    <w:rsid w:val="00116F9F"/>
    <w:rsid w:val="00161D01"/>
    <w:rsid w:val="00172FCC"/>
    <w:rsid w:val="001B3198"/>
    <w:rsid w:val="001D71DE"/>
    <w:rsid w:val="00253BE8"/>
    <w:rsid w:val="002F170D"/>
    <w:rsid w:val="002F4F8D"/>
    <w:rsid w:val="00375F1B"/>
    <w:rsid w:val="00422E7B"/>
    <w:rsid w:val="0046101D"/>
    <w:rsid w:val="00481A3C"/>
    <w:rsid w:val="004B525E"/>
    <w:rsid w:val="00516909"/>
    <w:rsid w:val="00521542"/>
    <w:rsid w:val="0052388A"/>
    <w:rsid w:val="005C770A"/>
    <w:rsid w:val="00600779"/>
    <w:rsid w:val="00632CFC"/>
    <w:rsid w:val="00671E0D"/>
    <w:rsid w:val="006963F1"/>
    <w:rsid w:val="006A4221"/>
    <w:rsid w:val="006F7EF1"/>
    <w:rsid w:val="007946FA"/>
    <w:rsid w:val="007A0614"/>
    <w:rsid w:val="007E6EA7"/>
    <w:rsid w:val="008470AA"/>
    <w:rsid w:val="00862A69"/>
    <w:rsid w:val="008C2E5B"/>
    <w:rsid w:val="009430D2"/>
    <w:rsid w:val="009B3948"/>
    <w:rsid w:val="009C15A5"/>
    <w:rsid w:val="00A75B5C"/>
    <w:rsid w:val="00AD124B"/>
    <w:rsid w:val="00AF3869"/>
    <w:rsid w:val="00BB6F68"/>
    <w:rsid w:val="00BE7CF0"/>
    <w:rsid w:val="00D14DA8"/>
    <w:rsid w:val="00D74AB9"/>
    <w:rsid w:val="00D7644F"/>
    <w:rsid w:val="00DC56C0"/>
    <w:rsid w:val="00E42883"/>
    <w:rsid w:val="00E90F58"/>
    <w:rsid w:val="00EA6FCC"/>
    <w:rsid w:val="00EB20A1"/>
    <w:rsid w:val="00F011D0"/>
    <w:rsid w:val="00F5750C"/>
    <w:rsid w:val="00F76C43"/>
    <w:rsid w:val="00FB6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2F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2A6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2A69"/>
  </w:style>
  <w:style w:type="paragraph" w:styleId="Fuzeile">
    <w:name w:val="footer"/>
    <w:basedOn w:val="Standard"/>
    <w:link w:val="FuzeileZchn"/>
    <w:uiPriority w:val="99"/>
    <w:unhideWhenUsed/>
    <w:rsid w:val="00862A6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2A69"/>
  </w:style>
  <w:style w:type="paragraph" w:styleId="Sprechblasentext">
    <w:name w:val="Balloon Text"/>
    <w:basedOn w:val="Standard"/>
    <w:link w:val="SprechblasentextZchn"/>
    <w:uiPriority w:val="99"/>
    <w:semiHidden/>
    <w:unhideWhenUsed/>
    <w:rsid w:val="00AF386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38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2F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2A6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2A69"/>
  </w:style>
  <w:style w:type="paragraph" w:styleId="Fuzeile">
    <w:name w:val="footer"/>
    <w:basedOn w:val="Standard"/>
    <w:link w:val="FuzeileZchn"/>
    <w:uiPriority w:val="99"/>
    <w:unhideWhenUsed/>
    <w:rsid w:val="00862A6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2A69"/>
  </w:style>
  <w:style w:type="paragraph" w:styleId="Sprechblasentext">
    <w:name w:val="Balloon Text"/>
    <w:basedOn w:val="Standard"/>
    <w:link w:val="SprechblasentextZchn"/>
    <w:uiPriority w:val="99"/>
    <w:semiHidden/>
    <w:unhideWhenUsed/>
    <w:rsid w:val="00AF386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3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Vach</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Sparn</dc:creator>
  <cp:lastModifiedBy>MarkusPoellinger</cp:lastModifiedBy>
  <cp:revision>2</cp:revision>
  <cp:lastPrinted>2015-11-19T16:59:00Z</cp:lastPrinted>
  <dcterms:created xsi:type="dcterms:W3CDTF">2017-01-31T21:16:00Z</dcterms:created>
  <dcterms:modified xsi:type="dcterms:W3CDTF">2017-01-31T21:16:00Z</dcterms:modified>
</cp:coreProperties>
</file>